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12"/>
        <w:gridCol w:w="3312"/>
        <w:gridCol w:w="3312"/>
      </w:tblGrid>
      <w:tr>
        <w:tc>
          <w:tcPr>
            <w:tcW w:type="dxa" w:w="3168"/>
            <w:vAlign w:val="center"/>
          </w:tcPr>
          <w:p>
            <w:pPr>
              <w:jc w:val="left"/>
            </w:pPr>
            <w:r>
              <w:drawing>
                <wp:inline xmlns:a="http://schemas.openxmlformats.org/drawingml/2006/main" xmlns:pic="http://schemas.openxmlformats.org/drawingml/2006/picture">
                  <wp:extent cx="1645920" cy="1645920"/>
                  <wp:docPr id="1" name="Picture 1"/>
                  <wp:cNvGraphicFramePr>
                    <a:graphicFrameLocks noChangeAspect="1"/>
                  </wp:cNvGraphicFramePr>
                  <a:graphic>
                    <a:graphicData uri="http://schemas.openxmlformats.org/drawingml/2006/picture">
                      <pic:pic>
                        <pic:nvPicPr>
                          <pic:cNvPr id="0" name="input_file_0.png"/>
                          <pic:cNvPicPr/>
                        </pic:nvPicPr>
                        <pic:blipFill>
                          <a:blip r:embed="rId9"/>
                          <a:stretch>
                            <a:fillRect/>
                          </a:stretch>
                        </pic:blipFill>
                        <pic:spPr>
                          <a:xfrm>
                            <a:off x="0" y="0"/>
                            <a:ext cx="1645920" cy="1645920"/>
                          </a:xfrm>
                          <a:prstGeom prst="rect"/>
                        </pic:spPr>
                      </pic:pic>
                    </a:graphicData>
                  </a:graphic>
                </wp:inline>
              </w:drawing>
            </w:r>
          </w:p>
        </w:tc>
        <w:tc>
          <w:tcPr>
            <w:tcW w:type="dxa" w:w="3600"/>
            <w:vAlign w:val="center"/>
          </w:tcPr>
          <w:p>
            <w:pPr>
              <w:jc w:val="center"/>
            </w:pPr>
            <w:r>
              <w:rPr>
                <w:rFonts w:ascii="Arial" w:hAnsi="Arial"/>
                <w:b/>
                <w:color w:val="005A36"/>
                <w:sz w:val="22"/>
              </w:rPr>
              <w:t>ACADEMY PARTNERSHIP</w:t>
              <w:br/>
            </w:r>
            <w:r>
              <w:rPr>
                <w:rFonts w:ascii="Arial" w:hAnsi="Arial"/>
                <w:b/>
                <w:color w:val="102542"/>
                <w:sz w:val="28"/>
              </w:rPr>
              <w:t>JOB DESCRIPTION</w:t>
            </w:r>
          </w:p>
        </w:tc>
        <w:tc>
          <w:tcPr>
            <w:tcW w:type="dxa" w:w="3168"/>
            <w:vAlign w:val="center"/>
          </w:tcPr>
          <w:p>
            <w:pPr>
              <w:jc w:val="right"/>
            </w:pPr>
            <w:r>
              <w:drawing>
                <wp:inline xmlns:a="http://schemas.openxmlformats.org/drawingml/2006/main" xmlns:pic="http://schemas.openxmlformats.org/drawingml/2006/picture">
                  <wp:extent cx="1005840" cy="1005840"/>
                  <wp:docPr id="2" name="Picture 2"/>
                  <wp:cNvGraphicFramePr>
                    <a:graphicFrameLocks noChangeAspect="1"/>
                  </wp:cNvGraphicFramePr>
                  <a:graphic>
                    <a:graphicData uri="http://schemas.openxmlformats.org/drawingml/2006/picture">
                      <pic:pic>
                        <pic:nvPicPr>
                          <pic:cNvPr id="0" name="input_file_1.png"/>
                          <pic:cNvPicPr/>
                        </pic:nvPicPr>
                        <pic:blipFill>
                          <a:blip r:embed="rId10"/>
                          <a:stretch>
                            <a:fillRect/>
                          </a:stretch>
                        </pic:blipFill>
                        <pic:spPr>
                          <a:xfrm>
                            <a:off x="0" y="0"/>
                            <a:ext cx="1005840" cy="1005840"/>
                          </a:xfrm>
                          <a:prstGeom prst="rect"/>
                        </pic:spPr>
                      </pic:pic>
                    </a:graphicData>
                  </a:graphic>
                </wp:inline>
              </w:drawing>
            </w:r>
          </w:p>
        </w:tc>
      </w:tr>
    </w:tbl>
    <w:p>
      <w:pPr>
        <w:spacing w:before="120" w:after="280"/>
        <w:pBdr>
          <w:bottom w:val="single" w:sz="18" w:space="1" w:color="005A36"/>
        </w:pBdr>
      </w:pPr>
    </w:p>
    <w:p>
      <w:pPr>
        <w:spacing w:before="0" w:after="280"/>
      </w:pPr>
      <w:r>
        <w:rPr>
          <w:rFonts w:ascii="Arial" w:hAnsi="Arial"/>
          <w:b/>
          <w:color w:val="005A36"/>
          <w:sz w:val="30"/>
        </w:rPr>
        <w:t>Lead BTEC Sport (Slough Town FC Academy Partnership)</w:t>
      </w:r>
    </w:p>
    <w:tbl>
      <w:tblPr>
        <w:tblW w:type="auto" w:w="0"/>
        <w:jc w:val="center"/>
        <w:tblLayout w:type="fixed"/>
        <w:tblLook w:firstColumn="1" w:firstRow="1" w:lastColumn="0" w:lastRow="0" w:noHBand="0" w:noVBand="1" w:val="04A0"/>
        <w:tblBorders>
          <w:top w:val="single" w:sz="4" w:space="0" w:color="CCCCCC"/>
          <w:bottom w:val="single" w:sz="4" w:space="0" w:color="CCCCCC"/>
          <w:insideH w:val="single" w:sz="4" w:space="0" w:color="CCCCCC"/>
          <w:insideV w:val="none"/>
          <w:left w:val="none"/>
          <w:right w:val="none"/>
        </w:tblBorders>
      </w:tblPr>
      <w:tblGrid>
        <w:gridCol w:w="4968"/>
        <w:gridCol w:w="4968"/>
      </w:tblGrid>
      <w:tr>
        <w:tc>
          <w:tcPr>
            <w:tcW w:type="dxa" w:w="2880"/>
            <w:tcMar>
              <w:top w:w="80" w:type="dxa"/>
              <w:bottom w:w="80" w:type="dxa"/>
              <w:left w:w="120" w:type="dxa"/>
              <w:right w:w="120" w:type="dxa"/>
            </w:tcMar>
            <w:shd w:fill="F4F7F5"/>
          </w:tcPr>
          <w:p>
            <w:pPr>
              <w:spacing w:after="0" w:line="276" w:lineRule="auto"/>
            </w:pPr>
            <w:r>
              <w:rPr>
                <w:rFonts w:ascii="Arial" w:hAnsi="Arial"/>
                <w:b/>
                <w:color w:val="102542"/>
                <w:sz w:val="19"/>
              </w:rPr>
              <w:t>Job Title</w:t>
            </w:r>
          </w:p>
        </w:tc>
        <w:tc>
          <w:tcPr>
            <w:tcW w:type="dxa" w:w="7056"/>
            <w:tcMar>
              <w:top w:w="80" w:type="dxa"/>
              <w:bottom w:w="80" w:type="dxa"/>
              <w:left w:w="120" w:type="dxa"/>
              <w:right w:w="120" w:type="dxa"/>
            </w:tcMar>
            <w:shd w:fill="F4F7F5"/>
          </w:tcPr>
          <w:p>
            <w:pPr>
              <w:spacing w:after="0" w:line="276" w:lineRule="auto"/>
            </w:pPr>
            <w:r>
              <w:rPr>
                <w:rFonts w:ascii="Arial" w:hAnsi="Arial"/>
                <w:color w:val="333333"/>
                <w:sz w:val="19"/>
              </w:rPr>
              <w:t>Lead BTEC Sport (Slough Town FC Academy Partnership)</w:t>
            </w:r>
          </w:p>
        </w:tc>
      </w:tr>
      <w:tr>
        <w:tc>
          <w:tcPr>
            <w:tcW w:type="dxa" w:w="2880"/>
            <w:tcMar>
              <w:top w:w="80" w:type="dxa"/>
              <w:bottom w:w="80" w:type="dxa"/>
              <w:left w:w="120" w:type="dxa"/>
              <w:right w:w="120" w:type="dxa"/>
            </w:tcMar>
          </w:tcPr>
          <w:p>
            <w:pPr>
              <w:spacing w:after="0" w:line="276" w:lineRule="auto"/>
            </w:pPr>
            <w:r>
              <w:rPr>
                <w:rFonts w:ascii="Arial" w:hAnsi="Arial"/>
                <w:b/>
                <w:color w:val="102542"/>
                <w:sz w:val="19"/>
              </w:rPr>
              <w:t>Employer</w:t>
            </w:r>
          </w:p>
        </w:tc>
        <w:tc>
          <w:tcPr>
            <w:tcW w:type="dxa" w:w="7056"/>
            <w:tcMar>
              <w:top w:w="80" w:type="dxa"/>
              <w:bottom w:w="80" w:type="dxa"/>
              <w:left w:w="120" w:type="dxa"/>
              <w:right w:w="120" w:type="dxa"/>
            </w:tcMar>
          </w:tcPr>
          <w:p>
            <w:pPr>
              <w:spacing w:after="0" w:line="276" w:lineRule="auto"/>
            </w:pPr>
            <w:r>
              <w:rPr>
                <w:rFonts w:ascii="Arial" w:hAnsi="Arial"/>
                <w:color w:val="333333"/>
                <w:sz w:val="19"/>
              </w:rPr>
              <w:t>Cox Green School</w:t>
            </w:r>
          </w:p>
        </w:tc>
      </w:tr>
      <w:tr>
        <w:tc>
          <w:tcPr>
            <w:tcW w:type="dxa" w:w="2880"/>
            <w:tcMar>
              <w:top w:w="80" w:type="dxa"/>
              <w:bottom w:w="80" w:type="dxa"/>
              <w:left w:w="120" w:type="dxa"/>
              <w:right w:w="120" w:type="dxa"/>
            </w:tcMar>
            <w:shd w:fill="F4F7F5"/>
          </w:tcPr>
          <w:p>
            <w:pPr>
              <w:spacing w:after="0" w:line="276" w:lineRule="auto"/>
            </w:pPr>
            <w:r>
              <w:rPr>
                <w:rFonts w:ascii="Arial" w:hAnsi="Arial"/>
                <w:b/>
                <w:color w:val="102542"/>
                <w:sz w:val="19"/>
              </w:rPr>
              <w:t>Primary Location</w:t>
            </w:r>
          </w:p>
        </w:tc>
        <w:tc>
          <w:tcPr>
            <w:tcW w:type="dxa" w:w="7056"/>
            <w:tcMar>
              <w:top w:w="80" w:type="dxa"/>
              <w:bottom w:w="80" w:type="dxa"/>
              <w:left w:w="120" w:type="dxa"/>
              <w:right w:w="120" w:type="dxa"/>
            </w:tcMar>
            <w:shd w:fill="F4F7F5"/>
          </w:tcPr>
          <w:p>
            <w:pPr>
              <w:spacing w:after="0" w:line="276" w:lineRule="auto"/>
            </w:pPr>
            <w:r>
              <w:rPr>
                <w:rFonts w:ascii="Arial" w:hAnsi="Arial"/>
                <w:color w:val="333333"/>
                <w:sz w:val="19"/>
              </w:rPr>
              <w:t>Cox Green School, Highfield Lane, Maidenhead, SL6 3AX</w:t>
            </w:r>
          </w:p>
        </w:tc>
      </w:tr>
      <w:tr>
        <w:tc>
          <w:tcPr>
            <w:tcW w:type="dxa" w:w="2880"/>
            <w:tcMar>
              <w:top w:w="80" w:type="dxa"/>
              <w:bottom w:w="80" w:type="dxa"/>
              <w:left w:w="120" w:type="dxa"/>
              <w:right w:w="120" w:type="dxa"/>
            </w:tcMar>
          </w:tcPr>
          <w:p>
            <w:pPr>
              <w:spacing w:after="0" w:line="276" w:lineRule="auto"/>
            </w:pPr>
            <w:r>
              <w:rPr>
                <w:rFonts w:ascii="Arial" w:hAnsi="Arial"/>
                <w:b/>
                <w:color w:val="102542"/>
                <w:sz w:val="19"/>
              </w:rPr>
              <w:t>Secondary Location</w:t>
            </w:r>
          </w:p>
        </w:tc>
        <w:tc>
          <w:tcPr>
            <w:tcW w:type="dxa" w:w="7056"/>
            <w:tcMar>
              <w:top w:w="80" w:type="dxa"/>
              <w:bottom w:w="80" w:type="dxa"/>
              <w:left w:w="120" w:type="dxa"/>
              <w:right w:w="120" w:type="dxa"/>
            </w:tcMar>
          </w:tcPr>
          <w:p>
            <w:pPr>
              <w:spacing w:after="0" w:line="276" w:lineRule="auto"/>
            </w:pPr>
            <w:r>
              <w:rPr>
                <w:rFonts w:ascii="Arial" w:hAnsi="Arial"/>
                <w:color w:val="333333"/>
                <w:sz w:val="19"/>
              </w:rPr>
              <w:t>Arbour Park Stadium, Stoke Road, Slough, SL2 5AY (occasional, as required)</w:t>
            </w:r>
          </w:p>
        </w:tc>
      </w:tr>
      <w:tr>
        <w:tc>
          <w:tcPr>
            <w:tcW w:type="dxa" w:w="2880"/>
            <w:tcMar>
              <w:top w:w="80" w:type="dxa"/>
              <w:bottom w:w="80" w:type="dxa"/>
              <w:left w:w="120" w:type="dxa"/>
              <w:right w:w="120" w:type="dxa"/>
            </w:tcMar>
            <w:shd w:fill="F4F7F5"/>
          </w:tcPr>
          <w:p>
            <w:pPr>
              <w:spacing w:after="0" w:line="276" w:lineRule="auto"/>
            </w:pPr>
            <w:r>
              <w:rPr>
                <w:rFonts w:ascii="Arial" w:hAnsi="Arial"/>
                <w:b/>
                <w:color w:val="102542"/>
                <w:sz w:val="19"/>
              </w:rPr>
              <w:t>Contract</w:t>
            </w:r>
          </w:p>
        </w:tc>
        <w:tc>
          <w:tcPr>
            <w:tcW w:type="dxa" w:w="7056"/>
            <w:tcMar>
              <w:top w:w="80" w:type="dxa"/>
              <w:bottom w:w="80" w:type="dxa"/>
              <w:left w:w="120" w:type="dxa"/>
              <w:right w:w="120" w:type="dxa"/>
            </w:tcMar>
            <w:shd w:fill="F4F7F5"/>
          </w:tcPr>
          <w:p>
            <w:pPr>
              <w:spacing w:after="0" w:line="276" w:lineRule="auto"/>
            </w:pPr>
            <w:r>
              <w:rPr>
                <w:rFonts w:ascii="Arial" w:hAnsi="Arial"/>
                <w:color w:val="333333"/>
                <w:sz w:val="19"/>
              </w:rPr>
              <w:t>Full-time; Permanent</w:t>
            </w:r>
          </w:p>
        </w:tc>
      </w:tr>
      <w:tr>
        <w:tc>
          <w:tcPr>
            <w:tcW w:type="dxa" w:w="2880"/>
            <w:tcMar>
              <w:top w:w="80" w:type="dxa"/>
              <w:bottom w:w="80" w:type="dxa"/>
              <w:left w:w="120" w:type="dxa"/>
              <w:right w:w="120" w:type="dxa"/>
            </w:tcMar>
          </w:tcPr>
          <w:p>
            <w:pPr>
              <w:spacing w:after="0" w:line="276" w:lineRule="auto"/>
            </w:pPr>
            <w:r>
              <w:rPr>
                <w:rFonts w:ascii="Arial" w:hAnsi="Arial"/>
                <w:b/>
                <w:color w:val="102542"/>
                <w:sz w:val="19"/>
              </w:rPr>
              <w:t>Start Date</w:t>
            </w:r>
          </w:p>
        </w:tc>
        <w:tc>
          <w:tcPr>
            <w:tcW w:type="dxa" w:w="7056"/>
            <w:tcMar>
              <w:top w:w="80" w:type="dxa"/>
              <w:bottom w:w="80" w:type="dxa"/>
              <w:left w:w="120" w:type="dxa"/>
              <w:right w:w="120" w:type="dxa"/>
            </w:tcMar>
          </w:tcPr>
          <w:p>
            <w:pPr>
              <w:spacing w:after="0" w:line="276" w:lineRule="auto"/>
            </w:pPr>
            <w:r>
              <w:rPr>
                <w:rFonts w:ascii="Arial" w:hAnsi="Arial"/>
                <w:color w:val="333333"/>
                <w:sz w:val="19"/>
              </w:rPr>
              <w:t>January 2027</w:t>
            </w:r>
          </w:p>
        </w:tc>
      </w:tr>
      <w:tr>
        <w:tc>
          <w:tcPr>
            <w:tcW w:type="dxa" w:w="2880"/>
            <w:tcMar>
              <w:top w:w="80" w:type="dxa"/>
              <w:bottom w:w="80" w:type="dxa"/>
              <w:left w:w="120" w:type="dxa"/>
              <w:right w:w="120" w:type="dxa"/>
            </w:tcMar>
            <w:shd w:fill="F4F7F5"/>
          </w:tcPr>
          <w:p>
            <w:pPr>
              <w:spacing w:after="0" w:line="276" w:lineRule="auto"/>
            </w:pPr>
            <w:r>
              <w:rPr>
                <w:rFonts w:ascii="Arial" w:hAnsi="Arial"/>
                <w:b/>
                <w:color w:val="102542"/>
                <w:sz w:val="19"/>
              </w:rPr>
              <w:t>Qualifications</w:t>
            </w:r>
          </w:p>
        </w:tc>
        <w:tc>
          <w:tcPr>
            <w:tcW w:type="dxa" w:w="7056"/>
            <w:tcMar>
              <w:top w:w="80" w:type="dxa"/>
              <w:bottom w:w="80" w:type="dxa"/>
              <w:left w:w="120" w:type="dxa"/>
              <w:right w:w="120" w:type="dxa"/>
            </w:tcMar>
            <w:shd w:fill="F4F7F5"/>
          </w:tcPr>
          <w:p>
            <w:pPr>
              <w:spacing w:after="0" w:line="276" w:lineRule="auto"/>
            </w:pPr>
            <w:r>
              <w:rPr>
                <w:rFonts w:ascii="Arial" w:hAnsi="Arial"/>
                <w:color w:val="333333"/>
                <w:sz w:val="19"/>
              </w:rPr>
              <w:t>Pearson BTEC Level 3 National Extended Certificate in Sport (601/7218/6) and National Diploma in Sport (603/0460/1); confirm centre approvals and planned intake</w:t>
            </w:r>
          </w:p>
        </w:tc>
      </w:tr>
      <w:tr>
        <w:tc>
          <w:tcPr>
            <w:tcW w:type="dxa" w:w="2880"/>
            <w:tcMar>
              <w:top w:w="80" w:type="dxa"/>
              <w:bottom w:w="80" w:type="dxa"/>
              <w:left w:w="120" w:type="dxa"/>
              <w:right w:w="120" w:type="dxa"/>
            </w:tcMar>
          </w:tcPr>
          <w:p>
            <w:pPr>
              <w:spacing w:after="0" w:line="276" w:lineRule="auto"/>
            </w:pPr>
            <w:r>
              <w:rPr>
                <w:rFonts w:ascii="Arial" w:hAnsi="Arial"/>
                <w:b/>
                <w:color w:val="102542"/>
                <w:sz w:val="19"/>
              </w:rPr>
              <w:t>Cohort</w:t>
            </w:r>
          </w:p>
        </w:tc>
        <w:tc>
          <w:tcPr>
            <w:tcW w:type="dxa" w:w="7056"/>
            <w:tcMar>
              <w:top w:w="80" w:type="dxa"/>
              <w:bottom w:w="80" w:type="dxa"/>
              <w:left w:w="120" w:type="dxa"/>
              <w:right w:w="120" w:type="dxa"/>
            </w:tcMar>
          </w:tcPr>
          <w:p>
            <w:pPr>
              <w:spacing w:after="0" w:line="276" w:lineRule="auto"/>
            </w:pPr>
            <w:r>
              <w:rPr>
                <w:rFonts w:ascii="Arial" w:hAnsi="Arial"/>
                <w:color w:val="333333"/>
                <w:sz w:val="19"/>
              </w:rPr>
              <w:t>Key Stage 5 (Years 12 and 13)</w:t>
            </w:r>
          </w:p>
        </w:tc>
      </w:tr>
      <w:tr>
        <w:tc>
          <w:tcPr>
            <w:tcW w:type="dxa" w:w="2880"/>
            <w:tcMar>
              <w:top w:w="80" w:type="dxa"/>
              <w:bottom w:w="80" w:type="dxa"/>
              <w:left w:w="120" w:type="dxa"/>
              <w:right w:w="120" w:type="dxa"/>
            </w:tcMar>
            <w:shd w:fill="F4F7F5"/>
          </w:tcPr>
          <w:p>
            <w:pPr>
              <w:spacing w:after="0" w:line="276" w:lineRule="auto"/>
            </w:pPr>
            <w:r>
              <w:rPr>
                <w:rFonts w:ascii="Arial" w:hAnsi="Arial"/>
                <w:b/>
                <w:color w:val="102542"/>
                <w:sz w:val="19"/>
              </w:rPr>
              <w:t>Salary</w:t>
            </w:r>
          </w:p>
        </w:tc>
        <w:tc>
          <w:tcPr>
            <w:tcW w:type="dxa" w:w="7056"/>
            <w:tcMar>
              <w:top w:w="80" w:type="dxa"/>
              <w:bottom w:w="80" w:type="dxa"/>
              <w:left w:w="120" w:type="dxa"/>
              <w:right w:w="120" w:type="dxa"/>
            </w:tcMar>
            <w:shd w:fill="F4F7F5"/>
          </w:tcPr>
          <w:p>
            <w:pPr>
              <w:spacing w:after="0" w:line="276" w:lineRule="auto"/>
            </w:pPr>
            <w:r>
              <w:rPr>
                <w:rFonts w:ascii="Arial" w:hAnsi="Arial"/>
                <w:color w:val="333333"/>
                <w:sz w:val="19"/>
              </w:rPr>
              <w:t>Based on experience</w:t>
            </w:r>
          </w:p>
        </w:tc>
      </w:tr>
      <w:tr>
        <w:tc>
          <w:tcPr>
            <w:tcW w:type="dxa" w:w="2880"/>
            <w:tcMar>
              <w:top w:w="80" w:type="dxa"/>
              <w:bottom w:w="80" w:type="dxa"/>
              <w:left w:w="120" w:type="dxa"/>
              <w:right w:w="120" w:type="dxa"/>
            </w:tcMar>
          </w:tcPr>
          <w:p>
            <w:pPr>
              <w:spacing w:after="0" w:line="276" w:lineRule="auto"/>
            </w:pPr>
            <w:r>
              <w:rPr>
                <w:rFonts w:ascii="Arial" w:hAnsi="Arial"/>
                <w:b/>
                <w:color w:val="102542"/>
                <w:sz w:val="19"/>
              </w:rPr>
              <w:t>Reporting</w:t>
            </w:r>
          </w:p>
        </w:tc>
        <w:tc>
          <w:tcPr>
            <w:tcW w:type="dxa" w:w="7056"/>
            <w:tcMar>
              <w:top w:w="80" w:type="dxa"/>
              <w:bottom w:w="80" w:type="dxa"/>
              <w:left w:w="120" w:type="dxa"/>
              <w:right w:w="120" w:type="dxa"/>
            </w:tcMar>
          </w:tcPr>
          <w:p>
            <w:pPr>
              <w:spacing w:after="0" w:line="276" w:lineRule="auto"/>
            </w:pPr>
            <w:r>
              <w:rPr>
                <w:rFonts w:ascii="Arial" w:hAnsi="Arial"/>
                <w:color w:val="333333"/>
                <w:sz w:val="19"/>
              </w:rPr>
              <w:t>Works with the Subcontract Manager and Cox Green School Sixth Form leadership</w:t>
            </w:r>
          </w:p>
        </w:tc>
      </w:tr>
    </w:tbl>
    <w:p>
      <w:pPr>
        <w:keepNext/>
        <w:spacing w:before="320" w:after="120"/>
        <w:pBdr>
          <w:bottom w:val="single" w:sz="6" w:space="2" w:color="005A36"/>
        </w:pBdr>
      </w:pPr>
      <w:r>
        <w:rPr>
          <w:rFonts w:ascii="Arial" w:hAnsi="Arial"/>
          <w:b/>
          <w:color w:val="005A36"/>
          <w:sz w:val="25"/>
        </w:rPr>
        <w:t>Job Purpose</w:t>
      </w:r>
    </w:p>
    <w:p>
      <w:pPr>
        <w:spacing w:before="0" w:after="120" w:line="276" w:lineRule="auto"/>
      </w:pPr>
      <w:r>
        <w:rPr>
          <w:rFonts w:ascii="Arial" w:hAnsi="Arial"/>
          <w:color w:val="333333"/>
          <w:sz w:val="20"/>
        </w:rPr>
        <w:t>The Lead BTEC Sport teacher will lead delivery and assessment of the Pearson Level 3 BTEC National Extended Certificate and National Diploma in Sport for Years 12 and 13 in the Slough Town FC Academy partnership. The postholder will promote strong teaching, accurate assessment and timely academic support while coordinating learning with academy training and match commitments.</w:t>
      </w:r>
    </w:p>
    <w:p>
      <w:pPr>
        <w:spacing w:before="0" w:after="120" w:line="276" w:lineRule="auto"/>
      </w:pPr>
      <w:r>
        <w:rPr>
          <w:rFonts w:ascii="Arial" w:hAnsi="Arial"/>
          <w:color w:val="333333"/>
          <w:sz w:val="20"/>
        </w:rPr>
        <w:t>The postholder will work primarily at Cox Green School, with occasional duties at Arbour Park Stadium under agreed school and club arrangements. Formal line management, centre accountability for the qualifications and safeguarding reporting routes must be confirmed before the post is advertised.</w:t>
      </w:r>
    </w:p>
    <w:p>
      <w:pPr>
        <w:keepNext/>
        <w:spacing w:before="320" w:after="120"/>
        <w:pBdr>
          <w:bottom w:val="single" w:sz="6" w:space="2" w:color="005A36"/>
        </w:pBdr>
      </w:pPr>
      <w:r>
        <w:rPr>
          <w:rFonts w:ascii="Arial" w:hAnsi="Arial"/>
          <w:b/>
          <w:color w:val="005A36"/>
          <w:sz w:val="25"/>
        </w:rPr>
        <w:t>Key Responsibilities</w:t>
      </w:r>
    </w:p>
    <w:p>
      <w:pPr>
        <w:keepNext/>
        <w:spacing w:before="240" w:after="80"/>
      </w:pPr>
      <w:r>
        <w:rPr>
          <w:rFonts w:ascii="Arial" w:hAnsi="Arial"/>
          <w:b/>
          <w:color w:val="102542"/>
          <w:sz w:val="22"/>
        </w:rPr>
        <w:t>1. Curriculum Leadership and Quality Assurance</w:t>
      </w:r>
    </w:p>
    <w:p>
      <w:pPr>
        <w:pStyle w:val="ListBullet"/>
        <w:spacing w:before="0" w:after="80" w:line="276" w:lineRule="auto"/>
      </w:pPr>
      <w:r>
        <w:rPr>
          <w:rFonts w:ascii="Arial" w:hAnsi="Arial"/>
          <w:color w:val="333333"/>
          <w:sz w:val="20"/>
        </w:rPr>
        <w:t>Plan, teach and assess both Pearson Level 3 BTEC National Sport pathways for Years 12 and 13, including preparation for external assessment.</w:t>
      </w:r>
    </w:p>
    <w:p>
      <w:pPr>
        <w:pStyle w:val="ListBullet"/>
        <w:spacing w:before="0" w:after="80" w:line="276" w:lineRule="auto"/>
      </w:pPr>
      <w:r>
        <w:rPr>
          <w:rFonts w:ascii="Arial" w:hAnsi="Arial"/>
          <w:color w:val="333333"/>
          <w:sz w:val="20"/>
        </w:rPr>
        <w:t>Maintain schemes of work, assessment schedules and assignment briefs appropriate to each pathway; use relevant football and sport examples without narrowing the required specification content.</w:t>
      </w:r>
    </w:p>
    <w:p>
      <w:pPr>
        <w:pStyle w:val="ListBullet"/>
        <w:spacing w:before="0" w:after="80" w:line="276" w:lineRule="auto"/>
      </w:pPr>
      <w:r>
        <w:rPr>
          <w:rFonts w:ascii="Arial" w:hAnsi="Arial"/>
          <w:color w:val="333333"/>
          <w:sz w:val="20"/>
        </w:rPr>
        <w:t>Maintain accurate learner evidence, assessment decisions and progress records; follow the centre’s internal verification, standardisation, malpractice and appeals procedures.</w:t>
      </w:r>
    </w:p>
    <w:p>
      <w:pPr>
        <w:pStyle w:val="ListBullet"/>
        <w:spacing w:before="0" w:after="80" w:line="276" w:lineRule="auto"/>
      </w:pPr>
      <w:r>
        <w:rPr>
          <w:rFonts w:ascii="Arial" w:hAnsi="Arial"/>
          <w:color w:val="333333"/>
          <w:sz w:val="20"/>
        </w:rPr>
        <w:t>Work with the appointed Lead Internal Verifier and Quality Nominee on standards verification and Pearson quality assurance. [If the postholder is to be appointed Lead Internal Verifier, state this explicitly and define the scope.]</w:t>
      </w:r>
    </w:p>
    <w:p>
      <w:pPr>
        <w:pStyle w:val="ListBullet"/>
        <w:spacing w:before="0" w:after="80" w:line="276" w:lineRule="auto"/>
      </w:pPr>
      <w:r>
        <w:rPr>
          <w:rFonts w:ascii="Arial" w:hAnsi="Arial"/>
          <w:color w:val="333333"/>
          <w:sz w:val="20"/>
        </w:rPr>
        <w:t>Review progress and put in place timely support for learners at risk of missing assessment deadlines or expected outcomes.</w:t>
      </w:r>
    </w:p>
    <w:p>
      <w:pPr>
        <w:pStyle w:val="ListBullet"/>
        <w:spacing w:before="0" w:after="80" w:line="276" w:lineRule="auto"/>
      </w:pPr>
      <w:r>
        <w:rPr>
          <w:rFonts w:ascii="Arial" w:hAnsi="Arial"/>
          <w:color w:val="333333"/>
          <w:sz w:val="20"/>
        </w:rPr>
        <w:t>For a January start, complete a structured handover of both cohorts, including unit coverage, assessment decisions, verification records, external assessment entries and outstanding learner support.</w:t>
      </w:r>
    </w:p>
    <w:p>
      <w:pPr>
        <w:keepNext/>
        <w:spacing w:before="240" w:after="80"/>
      </w:pPr>
      <w:r>
        <w:rPr>
          <w:rFonts w:ascii="Arial" w:hAnsi="Arial"/>
          <w:b/>
          <w:color w:val="102542"/>
          <w:sz w:val="22"/>
        </w:rPr>
        <w:t>2. Partnership Liaison and Timetabling</w:t>
      </w:r>
    </w:p>
    <w:p>
      <w:pPr>
        <w:pStyle w:val="ListBullet"/>
        <w:spacing w:before="0" w:after="80" w:line="276" w:lineRule="auto"/>
      </w:pPr>
      <w:r>
        <w:rPr>
          <w:rFonts w:ascii="Arial" w:hAnsi="Arial"/>
          <w:color w:val="333333"/>
          <w:sz w:val="20"/>
        </w:rPr>
        <w:t>Act as the academic contact for academy coaching and management staff, in coordination with the Subcontract Manager and Sixth Form leadership.</w:t>
      </w:r>
    </w:p>
    <w:p>
      <w:pPr>
        <w:pStyle w:val="ListBullet"/>
        <w:spacing w:before="0" w:after="80" w:line="276" w:lineRule="auto"/>
      </w:pPr>
      <w:r>
        <w:rPr>
          <w:rFonts w:ascii="Arial" w:hAnsi="Arial"/>
          <w:color w:val="333333"/>
          <w:sz w:val="20"/>
        </w:rPr>
        <w:t>Coordinate teaching and assessment with agreed training and fixture schedules while protecting required guided learning and assessment time.</w:t>
      </w:r>
    </w:p>
    <w:p>
      <w:pPr>
        <w:pStyle w:val="ListBullet"/>
        <w:spacing w:before="0" w:after="80" w:line="276" w:lineRule="auto"/>
      </w:pPr>
      <w:r>
        <w:rPr>
          <w:rFonts w:ascii="Arial" w:hAnsi="Arial"/>
          <w:color w:val="333333"/>
          <w:sz w:val="20"/>
        </w:rPr>
        <w:t>Deliver or supervise agreed sessions at Arbour Park, following school procedures for off-site activity, attendance, supervision, travel and emergencies.</w:t>
      </w:r>
    </w:p>
    <w:p>
      <w:pPr>
        <w:pStyle w:val="ListBullet"/>
        <w:spacing w:before="0" w:after="80" w:line="276" w:lineRule="auto"/>
      </w:pPr>
      <w:r>
        <w:rPr>
          <w:rFonts w:ascii="Arial" w:hAnsi="Arial"/>
          <w:color w:val="333333"/>
          <w:sz w:val="20"/>
        </w:rPr>
        <w:t>Agree proportionate arrangements for missed learning during fixtures and ensure students can meet assessment requirements.</w:t>
      </w:r>
    </w:p>
    <w:p>
      <w:pPr>
        <w:keepNext/>
        <w:spacing w:before="240" w:after="80"/>
      </w:pPr>
      <w:r>
        <w:rPr>
          <w:rFonts w:ascii="Arial" w:hAnsi="Arial"/>
          <w:b/>
          <w:color w:val="102542"/>
          <w:sz w:val="22"/>
        </w:rPr>
        <w:t>3. Student Progress and Pastoral Support</w:t>
      </w:r>
    </w:p>
    <w:p>
      <w:pPr>
        <w:pStyle w:val="ListBullet"/>
        <w:spacing w:before="0" w:after="80" w:line="276" w:lineRule="auto"/>
      </w:pPr>
      <w:r>
        <w:rPr>
          <w:rFonts w:ascii="Arial" w:hAnsi="Arial"/>
          <w:color w:val="333333"/>
          <w:sz w:val="20"/>
        </w:rPr>
        <w:t>Act as a Sixth Form tutor and mentor where allocated, supporting academic progress, wellbeing and post-18 planning.</w:t>
      </w:r>
    </w:p>
    <w:p>
      <w:pPr>
        <w:pStyle w:val="ListBullet"/>
        <w:spacing w:before="0" w:after="80" w:line="276" w:lineRule="auto"/>
      </w:pPr>
      <w:r>
        <w:rPr>
          <w:rFonts w:ascii="Arial" w:hAnsi="Arial"/>
          <w:color w:val="333333"/>
          <w:sz w:val="20"/>
        </w:rPr>
        <w:t>Monitor attendance, punctuality and conduct, and promptly share concerns through the school’s agreed reporting systems and partnership arrangements.</w:t>
      </w:r>
    </w:p>
    <w:p>
      <w:pPr>
        <w:pStyle w:val="ListBullet"/>
        <w:spacing w:before="0" w:after="80" w:line="276" w:lineRule="auto"/>
      </w:pPr>
      <w:r>
        <w:rPr>
          <w:rFonts w:ascii="Arial" w:hAnsi="Arial"/>
          <w:color w:val="333333"/>
          <w:sz w:val="20"/>
        </w:rPr>
        <w:t>Support applications and informed choices about higher education, apprenticeships, football and employment in sport, including overseas options where appropriate.</w:t>
      </w:r>
    </w:p>
    <w:p>
      <w:pPr>
        <w:pStyle w:val="ListBullet"/>
        <w:spacing w:before="0" w:after="80" w:line="276" w:lineRule="auto"/>
      </w:pPr>
      <w:r>
        <w:rPr>
          <w:rFonts w:ascii="Arial" w:hAnsi="Arial"/>
          <w:color w:val="333333"/>
          <w:sz w:val="20"/>
        </w:rPr>
        <w:t>Communicate appropriately with parents and carers about academic progress and wellbeing, observing school data protection and safeguarding procedures.</w:t>
      </w:r>
    </w:p>
    <w:p>
      <w:pPr>
        <w:keepNext/>
        <w:spacing w:before="240" w:after="80"/>
      </w:pPr>
      <w:r>
        <w:rPr>
          <w:rFonts w:ascii="Arial" w:hAnsi="Arial"/>
          <w:b/>
          <w:color w:val="102542"/>
          <w:sz w:val="22"/>
        </w:rPr>
        <w:t>4. Safeguarding and General Duties</w:t>
      </w:r>
    </w:p>
    <w:p>
      <w:pPr>
        <w:pStyle w:val="ListBullet"/>
        <w:spacing w:before="0" w:after="80" w:line="276" w:lineRule="auto"/>
      </w:pPr>
      <w:r>
        <w:rPr>
          <w:rFonts w:ascii="Arial" w:hAnsi="Arial"/>
          <w:color w:val="333333"/>
          <w:sz w:val="20"/>
        </w:rPr>
        <w:t>Safeguard and promote the welfare of students in school and club settings; identify, record and report concerns without delay to the school’s designated safeguarding lead or deputy in line with Cox Green School procedures.</w:t>
      </w:r>
    </w:p>
    <w:p>
      <w:pPr>
        <w:pStyle w:val="ListBullet"/>
        <w:spacing w:before="0" w:after="80" w:line="276" w:lineRule="auto"/>
      </w:pPr>
      <w:r>
        <w:rPr>
          <w:rFonts w:ascii="Arial" w:hAnsi="Arial"/>
          <w:color w:val="333333"/>
          <w:sz w:val="20"/>
        </w:rPr>
        <w:t>Maintain professional boundaries and follow agreed supervision, information-sharing and escalation arrangements when working with club staff and students off site.</w:t>
      </w:r>
    </w:p>
    <w:p>
      <w:pPr>
        <w:pStyle w:val="ListBullet"/>
        <w:spacing w:before="0" w:after="80" w:line="276" w:lineRule="auto"/>
      </w:pPr>
      <w:r>
        <w:rPr>
          <w:rFonts w:ascii="Arial" w:hAnsi="Arial"/>
          <w:color w:val="333333"/>
          <w:sz w:val="20"/>
        </w:rPr>
        <w:t>Follow school policies on health and safety, equality, SEND, behaviour, data protection and educational visits or off-site learning, as applicable.</w:t>
      </w:r>
    </w:p>
    <w:p>
      <w:pPr>
        <w:pStyle w:val="ListBullet"/>
        <w:spacing w:before="0" w:after="80" w:line="276" w:lineRule="auto"/>
      </w:pPr>
      <w:r>
        <w:rPr>
          <w:rFonts w:ascii="Arial" w:hAnsi="Arial"/>
          <w:color w:val="333333"/>
          <w:sz w:val="20"/>
        </w:rPr>
        <w:t>Provide progress reports for the formal line manager, school leadership and authorised academy representatives, in accordance with agreed information-sharing arrangements.</w:t>
      </w:r>
    </w:p>
    <w:p>
      <w:pPr>
        <w:pStyle w:val="ListBullet"/>
        <w:spacing w:before="0" w:after="80" w:line="276" w:lineRule="auto"/>
      </w:pPr>
      <w:r>
        <w:rPr>
          <w:rFonts w:ascii="Arial" w:hAnsi="Arial"/>
          <w:color w:val="333333"/>
          <w:sz w:val="20"/>
        </w:rPr>
        <w:t>Support Sixth Form open events, academy recruitment and induction activities within the agreed working arrangements.</w:t>
      </w:r>
    </w:p>
    <w:p>
      <w:pPr>
        <w:keepNext/>
        <w:spacing w:before="320" w:after="120"/>
        <w:pBdr>
          <w:bottom w:val="single" w:sz="6" w:space="2" w:color="005A36"/>
        </w:pBdr>
      </w:pPr>
      <w:r>
        <w:rPr>
          <w:rFonts w:ascii="Arial" w:hAnsi="Arial"/>
          <w:b/>
          <w:color w:val="005A36"/>
          <w:sz w:val="25"/>
        </w:rPr>
        <w:t>Person Specification</w:t>
      </w:r>
    </w:p>
    <w:p>
      <w:pPr>
        <w:keepNext/>
        <w:spacing w:before="240" w:after="80"/>
      </w:pPr>
      <w:r>
        <w:rPr>
          <w:rFonts w:ascii="Arial" w:hAnsi="Arial"/>
          <w:b/>
          <w:color w:val="102542"/>
          <w:sz w:val="22"/>
        </w:rPr>
        <w:t>Qualifications and Training</w:t>
      </w:r>
    </w:p>
    <w:p>
      <w:pPr>
        <w:pStyle w:val="ListBullet"/>
        <w:spacing w:before="0" w:after="80" w:line="276" w:lineRule="auto"/>
      </w:pPr>
      <w:r>
        <w:rPr>
          <w:rFonts w:ascii="Arial" w:hAnsi="Arial"/>
          <w:b/>
          <w:color w:val="102542"/>
          <w:sz w:val="20"/>
        </w:rPr>
        <w:t xml:space="preserve">Essential: </w:t>
      </w:r>
      <w:r>
        <w:rPr>
          <w:rFonts w:ascii="Arial" w:hAnsi="Arial"/>
          <w:color w:val="333333"/>
          <w:sz w:val="20"/>
        </w:rPr>
        <w:t>QTS or QTLS and a relevant degree or equivalent subject expertise in sport, physical education, coaching or a related field.</w:t>
      </w:r>
    </w:p>
    <w:p>
      <w:pPr>
        <w:pStyle w:val="ListBullet"/>
        <w:spacing w:before="0" w:after="80" w:line="276" w:lineRule="auto"/>
      </w:pPr>
      <w:r>
        <w:rPr>
          <w:rFonts w:ascii="Arial" w:hAnsi="Arial"/>
          <w:b/>
          <w:color w:val="102542"/>
          <w:sz w:val="20"/>
        </w:rPr>
        <w:t xml:space="preserve">Desirable: </w:t>
      </w:r>
      <w:r>
        <w:rPr>
          <w:rFonts w:ascii="Arial" w:hAnsi="Arial"/>
          <w:color w:val="333333"/>
          <w:sz w:val="20"/>
        </w:rPr>
        <w:t>Experience as a BTEC Lead Internal Verifier and relevant coaching or first aid qualifications.</w:t>
      </w:r>
    </w:p>
    <w:p>
      <w:pPr>
        <w:keepNext/>
        <w:spacing w:before="240" w:after="80"/>
      </w:pPr>
      <w:r>
        <w:rPr>
          <w:rFonts w:ascii="Arial" w:hAnsi="Arial"/>
          <w:b/>
          <w:color w:val="102542"/>
          <w:sz w:val="22"/>
        </w:rPr>
        <w:t>Experience and Knowledge</w:t>
      </w:r>
    </w:p>
    <w:p>
      <w:pPr>
        <w:pStyle w:val="ListBullet"/>
        <w:spacing w:before="0" w:after="80" w:line="276" w:lineRule="auto"/>
      </w:pPr>
      <w:r>
        <w:rPr>
          <w:rFonts w:ascii="Arial" w:hAnsi="Arial"/>
          <w:b/>
          <w:color w:val="102542"/>
          <w:sz w:val="20"/>
        </w:rPr>
        <w:t xml:space="preserve">Essential: </w:t>
      </w:r>
      <w:r>
        <w:rPr>
          <w:rFonts w:ascii="Arial" w:hAnsi="Arial"/>
          <w:color w:val="333333"/>
          <w:sz w:val="20"/>
        </w:rPr>
        <w:t>Successful teaching and assessment of Level 3 BTEC Sport or closely related post-16 vocational qualifications; ability to deliver both stated pathways.</w:t>
      </w:r>
    </w:p>
    <w:p>
      <w:pPr>
        <w:pStyle w:val="ListBullet"/>
        <w:spacing w:before="0" w:after="80" w:line="276" w:lineRule="auto"/>
      </w:pPr>
      <w:r>
        <w:rPr>
          <w:rFonts w:ascii="Arial" w:hAnsi="Arial"/>
          <w:b/>
          <w:color w:val="102542"/>
          <w:sz w:val="20"/>
        </w:rPr>
        <w:t xml:space="preserve">Essential: </w:t>
      </w:r>
      <w:r>
        <w:rPr>
          <w:rFonts w:ascii="Arial" w:hAnsi="Arial"/>
          <w:color w:val="333333"/>
          <w:sz w:val="20"/>
        </w:rPr>
        <w:t>Sound knowledge of the relevant Pearson specifications, assignment design, external assessment and vocational quality assurance.</w:t>
      </w:r>
    </w:p>
    <w:p>
      <w:pPr>
        <w:pStyle w:val="ListBullet"/>
        <w:spacing w:before="0" w:after="80" w:line="276" w:lineRule="auto"/>
      </w:pPr>
      <w:r>
        <w:rPr>
          <w:rFonts w:ascii="Arial" w:hAnsi="Arial"/>
          <w:b/>
          <w:color w:val="102542"/>
          <w:sz w:val="20"/>
        </w:rPr>
        <w:t xml:space="preserve">Desirable: </w:t>
      </w:r>
      <w:r>
        <w:rPr>
          <w:rFonts w:ascii="Arial" w:hAnsi="Arial"/>
          <w:color w:val="333333"/>
          <w:sz w:val="20"/>
        </w:rPr>
        <w:t>Experience of an academy partnership or other setting that coordinates education with sport commitments.</w:t>
      </w:r>
    </w:p>
    <w:p>
      <w:pPr>
        <w:keepNext/>
        <w:spacing w:before="240" w:after="80"/>
      </w:pPr>
      <w:r>
        <w:rPr>
          <w:rFonts w:ascii="Arial" w:hAnsi="Arial"/>
          <w:b/>
          <w:color w:val="102542"/>
          <w:sz w:val="22"/>
        </w:rPr>
        <w:t>Skills and Attributes</w:t>
      </w:r>
    </w:p>
    <w:p>
      <w:pPr>
        <w:pStyle w:val="ListBullet"/>
        <w:spacing w:before="0" w:after="80" w:line="276" w:lineRule="auto"/>
      </w:pPr>
      <w:r>
        <w:rPr>
          <w:rFonts w:ascii="Arial" w:hAnsi="Arial"/>
          <w:color w:val="333333"/>
          <w:sz w:val="20"/>
        </w:rPr>
        <w:t>Effective post-16 teaching, clear communication, sound organisation and the ability to support students with varied starting points and needs.</w:t>
      </w:r>
    </w:p>
    <w:p>
      <w:pPr>
        <w:pStyle w:val="ListBullet"/>
        <w:spacing w:before="0" w:after="80" w:line="276" w:lineRule="auto"/>
      </w:pPr>
      <w:r>
        <w:rPr>
          <w:rFonts w:ascii="Arial" w:hAnsi="Arial"/>
          <w:color w:val="333333"/>
          <w:sz w:val="20"/>
        </w:rPr>
        <w:t>Ability to work with school staff, club coaches, families and students while maintaining clear professional and safeguarding boundaries.</w:t>
      </w:r>
    </w:p>
    <w:p>
      <w:pPr>
        <w:pStyle w:val="ListBullet"/>
        <w:spacing w:before="0" w:after="80" w:line="276" w:lineRule="auto"/>
      </w:pPr>
      <w:r>
        <w:rPr>
          <w:rFonts w:ascii="Arial" w:hAnsi="Arial"/>
          <w:color w:val="333333"/>
          <w:sz w:val="20"/>
        </w:rPr>
        <w:t>Ability to travel between the school and stadium when required.</w:t>
      </w:r>
    </w:p>
    <w:p>
      <w:pPr>
        <w:spacing w:before="160"/>
      </w:pPr>
    </w:p>
    <w:tbl>
      <w:tblPr>
        <w:tblW w:type="auto" w:w="0"/>
        <w:jc w:val="center"/>
        <w:tblLayout w:type="fixed"/>
        <w:tblLook w:firstColumn="1" w:firstRow="1" w:lastColumn="0" w:lastRow="0" w:noHBand="0" w:noVBand="1" w:val="04A0"/>
      </w:tblPr>
      <w:tblGrid>
        <w:gridCol w:w="9936"/>
      </w:tblGrid>
      <w:tr>
        <w:tc>
          <w:tcPr>
            <w:tcW w:type="dxa" w:w="9936"/>
            <w:shd w:fill="F4F7F5"/>
            <w:tcMar>
              <w:top w:w="120" w:type="dxa"/>
              <w:bottom w:w="120" w:type="dxa"/>
              <w:left w:w="180" w:type="dxa"/>
              <w:right w:w="180" w:type="dxa"/>
            </w:tcMar>
            <w:tcBorders>
              <w:top w:val="none"/>
              <w:bottom w:val="none"/>
              <w:right w:val="none"/>
              <w:left w:val="single" w:sz="24" w:space="0" w:color="005A36"/>
            </w:tcBorders>
          </w:tcPr>
          <w:p>
            <w:pPr>
              <w:spacing w:before="80" w:after="80" w:line="276" w:lineRule="auto"/>
            </w:pPr>
            <w:r>
              <w:rPr>
                <w:rFonts w:ascii="Arial" w:hAnsi="Arial"/>
                <w:i/>
                <w:color w:val="333333"/>
                <w:sz w:val="19"/>
              </w:rPr>
              <w:t>Cox Green School is committed to safeguarding and promoting the welfare of children and young people. Appointment is subject to the school’s safer recruitment process and appropriate pre-employment checks.</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